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A1" w:rsidRPr="00C05EA1" w:rsidRDefault="00C05EA1" w:rsidP="00C05EA1">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C05EA1">
        <w:rPr>
          <w:rFonts w:ascii="Times New Roman" w:eastAsia="Times New Roman" w:hAnsi="Times New Roman" w:cs="Times New Roman"/>
          <w:b/>
          <w:sz w:val="24"/>
          <w:szCs w:val="24"/>
          <w:lang w:eastAsia="it-IT"/>
        </w:rPr>
        <w:t>SENTENZA N. 174</w:t>
      </w:r>
    </w:p>
    <w:p w:rsidR="00C05EA1" w:rsidRPr="00C05EA1" w:rsidRDefault="00C05EA1" w:rsidP="00C05EA1">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C05EA1">
        <w:rPr>
          <w:rFonts w:ascii="Times New Roman" w:eastAsia="Times New Roman" w:hAnsi="Times New Roman" w:cs="Times New Roman"/>
          <w:b/>
          <w:sz w:val="24"/>
          <w:szCs w:val="24"/>
          <w:lang w:eastAsia="it-IT"/>
        </w:rPr>
        <w:t>ANNO 2016</w:t>
      </w:r>
    </w:p>
    <w:p w:rsidR="00C05EA1" w:rsidRPr="00C05EA1" w:rsidRDefault="00C05EA1" w:rsidP="00C05EA1">
      <w:pPr>
        <w:spacing w:after="0"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br/>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REPUBBLICA ITALIANA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IN NOME DEL POPOLO ITALIANO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CORTE COSTITUZIONALE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composta dai signori: Presidente: Paolo GROSSI; Giudici : Alessandro CRISCUOLO, Giorgio LATTANZI, Aldo CAROSI, Marta CARTABIA, Mario Rosario MORELLI, Giancarlo CORAGGIO, Giuliano AMATO, Silvana SCIARRA, Daria de PRETIS, Nicolò ZANON, Franco MODUGNO, Giulio PROSPERETTI,</w:t>
      </w:r>
    </w:p>
    <w:p w:rsidR="00C05EA1" w:rsidRPr="00C05EA1" w:rsidRDefault="00C05EA1" w:rsidP="00C05EA1">
      <w:pPr>
        <w:spacing w:after="0"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br/>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ha pronunciato la seguente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SENTENZA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nel giudizio di legittimità costituzionale dell’art. 18, comma 5, del decreto-legge 6 luglio 2011, n. 98 (Disposizioni urgenti per la stabilizzazione finanziaria), convertito, con modificazioni, dall’art. 1, comma 1, della legge 15 luglio 2011, n. 111, promosso dalla Corte dei conti, sezione giurisdizionale per la Regione Lazio, nel procedimento vertente tra S.P. e l’Istituto nazionale della previdenza sociale (INPS) con ordinanza del 24 marzo 2014, iscritta al n. 131 del registro ordinanze 2014 e pubblicata nella Gazzetta Ufficiale della Repubblica n. 36, prima serie speciale, dell’anno 2014.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Visti l’atto di costituzione dell’INPS nonché l’atto di intervento del Presidente del Consiglio dei ministri;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udito nell’udienza pubblica del 31 maggio 2016 il Giudice relatore Silvana </w:t>
      </w:r>
      <w:proofErr w:type="spellStart"/>
      <w:r w:rsidRPr="00C05EA1">
        <w:rPr>
          <w:rFonts w:ascii="Times New Roman" w:eastAsia="Times New Roman" w:hAnsi="Times New Roman" w:cs="Times New Roman"/>
          <w:sz w:val="24"/>
          <w:szCs w:val="24"/>
          <w:lang w:eastAsia="it-IT"/>
        </w:rPr>
        <w:t>Sciarra</w:t>
      </w:r>
      <w:proofErr w:type="spellEnd"/>
      <w:r w:rsidRPr="00C05EA1">
        <w:rPr>
          <w:rFonts w:ascii="Times New Roman" w:eastAsia="Times New Roman" w:hAnsi="Times New Roman" w:cs="Times New Roman"/>
          <w:sz w:val="24"/>
          <w:szCs w:val="24"/>
          <w:lang w:eastAsia="it-IT"/>
        </w:rPr>
        <w:t xml:space="preserv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uditi l’avvocato Filippo Mangiapane per l’INPS e l’avvocato dello Stato Gabriella Palmieri per il Presidente del Consiglio dei ministri. </w:t>
      </w:r>
    </w:p>
    <w:p w:rsidR="00C05EA1" w:rsidRPr="00C05EA1" w:rsidRDefault="00C05EA1" w:rsidP="00C05EA1">
      <w:pPr>
        <w:spacing w:after="0"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br/>
      </w:r>
      <w:bookmarkStart w:id="0" w:name="fatto"/>
      <w:bookmarkEnd w:id="0"/>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Ritenuto in fatto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1.– Con ordinanza del 24 marzo 2014, iscritta al n. 131 del registro ordinanze 2014, la Corte dei conti, sezione giurisdizionale per la Regione Lazio, giudice unico delle pensioni, ha sollevato, in riferimento agli artt. 3, 29, 36 e 38 della Costituzione, questione di legittimità costituzionale dell’art. 18, comma 5, del decreto-legge 6 luglio 2011, n. 98 (Disposizioni urgenti per la </w:t>
      </w:r>
      <w:r w:rsidRPr="00C05EA1">
        <w:rPr>
          <w:rFonts w:ascii="Times New Roman" w:eastAsia="Times New Roman" w:hAnsi="Times New Roman" w:cs="Times New Roman"/>
          <w:sz w:val="24"/>
          <w:szCs w:val="24"/>
          <w:lang w:eastAsia="it-IT"/>
        </w:rPr>
        <w:lastRenderedPageBreak/>
        <w:t xml:space="preserve">stabilizzazione finanziaria), convertito, con modificazioni, dall’art. 1, comma 1, della legge 15 luglio 2011, n. 111.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disposizione censurata prevede che «Con effetto sulle pensioni decorrenti dal 1° gennaio 2012 l’aliquota percentuale della pensione a favore dei superstiti di assicurato e pensionato nell’ambito del regime dell’assicurazione generale obbligatoria e delle forme esclusive o sostitutive di detto regime, nonché della gestione separata di cui all’articolo 2, comma 26, della legge 8 agosto 1995, n. 335, è ridotta, nei casi in cui il matrimonio con il dante causa sia stato contratto ad età del medesimo superiori a settanta anni e la differenza di età tra i coniugi sia superiore a venti anni, del 10 per cento in ragione di ogni anno di matrimonio con il dante causa mancante rispetto al numero di 10. Nei casi di frazione di anno la predetta riduzione percentuale è proporzionalmente rideterminata. Le disposizioni di cui al presente comma non si applicano nei casi di presenza di figli di minore età, studenti, ovvero inabili. Resta fermo il regime di cumulabilità disciplinato dall’articolo 1, comma 41, della predetta legge n. 335 del 1995».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1.1.– Il giudice rimettente espone di dover decidere sulla domanda di S.P., coniuge superstite di un titolare di pensione diretta, che ha chiesto il riconoscimento del diritto di percepire la pensione di reversibilità, senza la decurtazione percentuale sancita dalla disposizione impugnata, e la conseguente condanna dell’Istituto nazionale della previdenza sociale (INPS) a rideterminare l’importo della pensione, con interessi e rivalutazione monetaria.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In punto di rilevanza, il giudice a quo evidenzia che la disposizione censurata si applica </w:t>
      </w:r>
      <w:proofErr w:type="spellStart"/>
      <w:r w:rsidRPr="00C05EA1">
        <w:rPr>
          <w:rFonts w:ascii="Times New Roman" w:eastAsia="Times New Roman" w:hAnsi="Times New Roman" w:cs="Times New Roman"/>
          <w:sz w:val="24"/>
          <w:szCs w:val="24"/>
          <w:lang w:eastAsia="it-IT"/>
        </w:rPr>
        <w:t>ratione</w:t>
      </w:r>
      <w:proofErr w:type="spellEnd"/>
      <w:r w:rsidRPr="00C05EA1">
        <w:rPr>
          <w:rFonts w:ascii="Times New Roman" w:eastAsia="Times New Roman" w:hAnsi="Times New Roman" w:cs="Times New Roman"/>
          <w:sz w:val="24"/>
          <w:szCs w:val="24"/>
          <w:lang w:eastAsia="it-IT"/>
        </w:rPr>
        <w:t xml:space="preserve"> </w:t>
      </w:r>
      <w:proofErr w:type="spellStart"/>
      <w:r w:rsidRPr="00C05EA1">
        <w:rPr>
          <w:rFonts w:ascii="Times New Roman" w:eastAsia="Times New Roman" w:hAnsi="Times New Roman" w:cs="Times New Roman"/>
          <w:sz w:val="24"/>
          <w:szCs w:val="24"/>
          <w:lang w:eastAsia="it-IT"/>
        </w:rPr>
        <w:t>temporis</w:t>
      </w:r>
      <w:proofErr w:type="spellEnd"/>
      <w:r w:rsidRPr="00C05EA1">
        <w:rPr>
          <w:rFonts w:ascii="Times New Roman" w:eastAsia="Times New Roman" w:hAnsi="Times New Roman" w:cs="Times New Roman"/>
          <w:sz w:val="24"/>
          <w:szCs w:val="24"/>
          <w:lang w:eastAsia="it-IT"/>
        </w:rPr>
        <w:t xml:space="preserve"> alla vicenda controversa e non si presta a un’interpretazione compatibile con il dettato costituzionale: la parte ricorrente nel giudizio principale ha sposato un uomo, che ha superato i settant’anni, il divario di età tra i coniugi è superiore a vent’anni e, pertanto, ricorrono i presupposti per procedere alla decurtazione di legge.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1.2.– Con riguardo alla non manifesta infondatezza della questione di costituzionalità, il giudice a quo disattende, in primo luogo, gli argomenti della parte intervenuta, volti a equiparare il matrimonio alla convivenza more uxorio, che, nel caso di specie, aveva preceduto il matrimonio.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Il giudice rimettente assume che la disciplina impugnata contrasti con l’art. 29 Cost., in quanto le decurtazioni previste dalla legge pregiudicano la possibilità di condurre una vita dignitosa dopo la morte del coniuge e violano così la libertà di compiere scelte personali in </w:t>
      </w:r>
      <w:proofErr w:type="spellStart"/>
      <w:r w:rsidRPr="00C05EA1">
        <w:rPr>
          <w:rFonts w:ascii="Times New Roman" w:eastAsia="Times New Roman" w:hAnsi="Times New Roman" w:cs="Times New Roman"/>
          <w:sz w:val="24"/>
          <w:szCs w:val="24"/>
          <w:lang w:eastAsia="it-IT"/>
        </w:rPr>
        <w:t>àmbito</w:t>
      </w:r>
      <w:proofErr w:type="spellEnd"/>
      <w:r w:rsidRPr="00C05EA1">
        <w:rPr>
          <w:rFonts w:ascii="Times New Roman" w:eastAsia="Times New Roman" w:hAnsi="Times New Roman" w:cs="Times New Roman"/>
          <w:sz w:val="24"/>
          <w:szCs w:val="24"/>
          <w:lang w:eastAsia="it-IT"/>
        </w:rPr>
        <w:t xml:space="preserve"> familiare.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Inoltre, la misura restrittiva adottata dal legislatore si porrebbe in contrasto con l’art. 3 Cost., sotto un duplice profilo: le decurtazioni previste sarebbero innanzitutto irragionevoli, perché legate a fattori futuri, incerti, estranei alle regole dell’istituto della pensione di reversibilità (la durata del matrimonio, l’età del coniuge pensionato). In secondo luogo, esse sarebbero lesive dell’eguaglianza tra i coniugi, discriminando arbitrariamente – quanto alla garanzia di continuità del sostentamento – il coniuge superstite, «</w:t>
      </w:r>
      <w:proofErr w:type="spellStart"/>
      <w:r w:rsidRPr="00C05EA1">
        <w:rPr>
          <w:rFonts w:ascii="Times New Roman" w:eastAsia="Times New Roman" w:hAnsi="Times New Roman" w:cs="Times New Roman"/>
          <w:sz w:val="24"/>
          <w:szCs w:val="24"/>
          <w:lang w:eastAsia="it-IT"/>
        </w:rPr>
        <w:t>apoditticamente</w:t>
      </w:r>
      <w:proofErr w:type="spellEnd"/>
      <w:r w:rsidRPr="00C05EA1">
        <w:rPr>
          <w:rFonts w:ascii="Times New Roman" w:eastAsia="Times New Roman" w:hAnsi="Times New Roman" w:cs="Times New Roman"/>
          <w:sz w:val="24"/>
          <w:szCs w:val="24"/>
          <w:lang w:eastAsia="it-IT"/>
        </w:rPr>
        <w:t xml:space="preserve"> individuato nel più giovane».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Ad avviso del giudice rimettente, la disciplina in esame, destinata a tradursi in una misura sprovvista di ogni limite temporale e di ogni legame con le contingenti esigenze di natura finanziaria, lederebbe anche 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consacrati dagli artt. 36 e 38 della Carta fondamentale.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Essa, difatti, determinerebbe un’irragionevole e definitiva riduzione della pensione, “retribuzione differita”, che, nel necessario bilanciamento con le concrete e attuali disponibilità delle risorse finanziarie, deve essere proporzionata alla qualità e alla quantità del lavoro prestato e deve assicurare al lavoratore e alla famiglia un’esistenza libera e dignitosa e una vecchiaia nella quale non manchino i mezzi adeguati a un dignitoso sostentamento.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lastRenderedPageBreak/>
        <w:t xml:space="preserve">2.– Con memoria del 6 agosto 2014, si è costituito in giudizio l’INPS, limitandosi a chiedere di dichiarare inammissibile o, in subordine, infondata la questione di legittimità costituzionale e riservandosi di meglio articolare in séguito deduzioni e difese.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3.– Nel giudizio è intervenuto il Presidente del Consiglio dei ministri, con memoria depositata il 16 settembre 2014, e ha chiesto di dichiarare inammissibile o comunque infondata la questione di legittimità costituzionale.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difesa dello Stato reputa la questione inammissibile, per difetto di chiarezza e di univocità della </w:t>
      </w:r>
      <w:proofErr w:type="spellStart"/>
      <w:r w:rsidRPr="00C05EA1">
        <w:rPr>
          <w:rFonts w:ascii="Times New Roman" w:eastAsia="Times New Roman" w:hAnsi="Times New Roman" w:cs="Times New Roman"/>
          <w:sz w:val="24"/>
          <w:szCs w:val="24"/>
          <w:lang w:eastAsia="it-IT"/>
        </w:rPr>
        <w:t>prospettazione</w:t>
      </w:r>
      <w:proofErr w:type="spellEnd"/>
      <w:r w:rsidRPr="00C05EA1">
        <w:rPr>
          <w:rFonts w:ascii="Times New Roman" w:eastAsia="Times New Roman" w:hAnsi="Times New Roman" w:cs="Times New Roman"/>
          <w:sz w:val="24"/>
          <w:szCs w:val="24"/>
          <w:lang w:eastAsia="it-IT"/>
        </w:rPr>
        <w:t xml:space="preserve">: la disposizione riguarderebbe tutti i trattamenti pensionistici, pubblici e privati, e, pertanto, non sarebbe intelligibile la censura di violazione dell’art. 3 Cost., soprattutto in considerazione della peculiarità della fattispecie e della finalità di reprimere gli abusi ai danni delle persone anziane.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questione sarebbe comunque infondata, poiché la libertà di sposarsi non può ritenersi condizionata dalla possibilità di beneficiare del trattamento di reversibilità.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Sarebbero prive di pregio anche le censure di violazione degli artt. 36 e 38 </w:t>
      </w:r>
      <w:proofErr w:type="spellStart"/>
      <w:r w:rsidRPr="00C05EA1">
        <w:rPr>
          <w:rFonts w:ascii="Times New Roman" w:eastAsia="Times New Roman" w:hAnsi="Times New Roman" w:cs="Times New Roman"/>
          <w:sz w:val="24"/>
          <w:szCs w:val="24"/>
          <w:lang w:eastAsia="it-IT"/>
        </w:rPr>
        <w:t>Cost</w:t>
      </w:r>
      <w:proofErr w:type="spellEnd"/>
      <w:r w:rsidRPr="00C05EA1">
        <w:rPr>
          <w:rFonts w:ascii="Times New Roman" w:eastAsia="Times New Roman" w:hAnsi="Times New Roman" w:cs="Times New Roman"/>
          <w:sz w:val="24"/>
          <w:szCs w:val="24"/>
          <w:lang w:eastAsia="it-IT"/>
        </w:rPr>
        <w:t xml:space="preserve">.. Sarebbe conforme ai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costituzionali una disciplina suscettibile di incidere su trattamenti pensionistici del tutto eventuali, come la pensione di reversibilità, in forza di una disciplina dell’ammontare di tali trattamenti, rispettosa del canone di ragionevolezza.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Peraltro, l’accoglimento della questione di costituzionalità produrrebbe effetti negativi per la finanza, secondo quanto si evince dalla relazione tecnica allegata al disegno di legge di conversione del d.l. n. 98 del 2011.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4.– In prossimità dell’udienza, l’INPS ha depositato una memoria illustrativa e ha ribadito, con argomentazioni più approfondite, le conclusioni già svolte.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L’INPS ha eccepito l’inammissibilità della questione per difetto di rilevanza, addebitando al giudice rimettente di non avere adeguatamente chiarito se l’applicazione letterale della norma sia davvero in conflitto con i precetti costituzionali evocati e se una pronuncia di accoglimento sia effettivamente idonea a «ripristinare il bene della vita» richiesto dalla parte ricorrente.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norma impugnata – argomenta l’INPS – è successiva al matrimonio della ricorrente, che, pertanto, non ha visto pregiudicata la sua libertà di autodeterminazione.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Ad avviso dell’INPS, il giudice rimettente non ha specificato come la riduzione del trattamento pensionistico, nel caso di specie, comprometta il diritto a condurre un’esistenza libera e dignitosa.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L’INPS sostiene che il giudice rimettente abbia sollevato la questione di legittimità costituzionale «a tutela non tanto dell’interesse specifico presuntivamente leso dal provvedimento di liquidazione della pensione, ma con il fine di far valere un generale principio di intangibilità del quantum delle pensioni ai superstiti a beneficio della generalità dei potenziali percettori delle prestazioni».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questione di legittimità costituzionale, inoltre, sarebbe manifestamente infondata: le censure si appunterebbero contro una disciplina adottata in una grave congiuntura di crisi finanziaria, al precipuo scopo di conseguire l’equilibrio di bilancio, costituzionalmente imposto (art. 81 Cost.).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lastRenderedPageBreak/>
        <w:t xml:space="preserve">Peraltro, il giudice a quo non avrebbe tenuto conto dell’evoluzione dell’istituto della pensione di reversibilità, che ha perso la connotazione alimentare e assistenziale, per acquisire la valenza di trattamento integrativo del reddito da lavoro o da pensione del familiare superstite.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Contro la fondatezza della questione deporrebbe la diversità delle norme già dichiarate incostituzionali rispetto alla disciplina sottoposta all’odierno vaglio della Corte, che non elimina in radice la pensione di reversibilità, ma riduce progressivamente l’aliquota e prevede taluni correttivi a fronte di situazioni meritevoli di tutela (la presenza di figli minori, studenti o inabili).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L’esigenza di considerare la durata del matrimonio, alla stregua di quel che avviene per la pensione di reversibilità attribuita al coniuge divorziato, non vanificherebbe la funzione solidaristica, insita nella pensione di reversibilità.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Quanto al trattamento deteriore del coniuge superstite più giovane rispetto al privilegio accordato al coniuge superstite più anziano, l’INPS nega che le due fattispecie possano essere poste a raffronto e osserva che, nell’ipotesi marginale di sopravvivenza del coniuge più anziano, questi non potrebbe giovarsi per lungo tempo di tale posizione di favore.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disposizione impugnata, approvata allo scopo di salvaguardare la tenuta dei conti pubblici e di razionalizzare l’assetto normativo delle pensioni di reversibilità, non limiterebbe in alcun modo la libertà di matrimonio, ma si prefiggerebbe di tutelarla da propositi venali e fraudolenti.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Pertanto, la disciplina in esame, espressione del principio di solidarietà coniugale, non istituirebbe arbitrarie disparità di trattamento e sarebbe immune dai vizi di legittimità costituzionale denunciati dal giudice rimettente.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5.– All’udienza pubblica del 31 maggio 2016, le parti hanno ribadito le conclusioni già rassegnate negli scritti difensivi. </w:t>
      </w:r>
    </w:p>
    <w:p w:rsidR="00C05EA1" w:rsidRPr="00C05EA1" w:rsidRDefault="00C05EA1" w:rsidP="00C05EA1">
      <w:pPr>
        <w:spacing w:after="0"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br/>
      </w:r>
      <w:bookmarkStart w:id="1" w:name="diritto"/>
      <w:bookmarkEnd w:id="1"/>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Considerato in diritto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1.– L’art. 18, comma 5, del decreto-legge 6 luglio 2011, n. 98 (Disposizioni urgenti per la stabilizzazione finanziaria), convertito, con modificazioni, dall’art. 1, comma 1, della legge 15 luglio 2011, n. 111, prevede che «Con effetto sulle pensioni decorrenti dal 1° gennaio 2012 l’aliquota percentuale della pensione a favore dei superstiti di assicurato e pensionato nell’ambito del regime dell’assicurazione generale obbligatoria e delle forme esclusive o sostitutive di detto regime, nonché della gestione separata di cui all’articolo 2, comma 26, della legge 8 agosto 1995, n. 335, è ridotta, nei casi in cui il matrimonio con il dante causa sia stato contratto ad età del medesimo superiori a settanta anni e la differenza di età tra i coniugi sia superiore a venti anni, del 10 per cento in ragione di ogni anno di matrimonio con il dante causa mancante rispetto al numero di 10. Nei casi di frazione di anno la predetta riduzione percentuale è proporzionalmente rideterminata. Le disposizioni di cui al presente comma non si applicano nei casi di presenza di figli di minore età, studenti, ovvero inabili. Resta fermo il regime di cumulabilità disciplinato dall’articolo 1, comma 41, della predetta legge n. 335 del 1995».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Corte dei conti, sezione giurisdizionale per la Regione Lazio, giudice unico delle pensioni, dubita della legittimità costituzionale di tale normativa, in riferimento agli artt. 3, 29, 36 e 38 della Costituzione.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lastRenderedPageBreak/>
        <w:t xml:space="preserve">Il giudice rimettente ravvisa un contrasto con l’art. 3 Cost., sotto il duplice profilo della violazione del canone di ragionevolezza e del principio di eguaglianza.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disciplina del trattamento di reversibilità, introdotta nel 2011, stabilirebbe decurtazioni «irrazionali e irragionevoli», «collegate a meri fattori futuri, incerti e sicuramente estranei alle regole proprie dell’istituto “pensione di reversibilità” quali la durata del matrimonio e l’età del coniuge pensionato, in assoluto e relativamente a quella dell’altro coniuge».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Inoltre, la disciplina sottoposta al vaglio di questa Corte sarebbe lesiva del principio di eguaglianza tra i coniugi, «operando nei confronti del coniuge superstite (</w:t>
      </w:r>
      <w:proofErr w:type="spellStart"/>
      <w:r w:rsidRPr="00C05EA1">
        <w:rPr>
          <w:rFonts w:ascii="Times New Roman" w:eastAsia="Times New Roman" w:hAnsi="Times New Roman" w:cs="Times New Roman"/>
          <w:sz w:val="24"/>
          <w:szCs w:val="24"/>
          <w:lang w:eastAsia="it-IT"/>
        </w:rPr>
        <w:t>apoditticamente</w:t>
      </w:r>
      <w:proofErr w:type="spellEnd"/>
      <w:r w:rsidRPr="00C05EA1">
        <w:rPr>
          <w:rFonts w:ascii="Times New Roman" w:eastAsia="Times New Roman" w:hAnsi="Times New Roman" w:cs="Times New Roman"/>
          <w:sz w:val="24"/>
          <w:szCs w:val="24"/>
          <w:lang w:eastAsia="it-IT"/>
        </w:rPr>
        <w:t xml:space="preserve"> individuato nel più giovane) un palese “vulnus” del suo diritto a quella garanzia di continuità nel sostentamento ai superstiti, riconosciuta dalla Corte nella sentenza n. 286/1987».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Il giudice rimettente ritiene che la disposizione impugnata </w:t>
      </w:r>
      <w:proofErr w:type="spellStart"/>
      <w:r w:rsidRPr="00C05EA1">
        <w:rPr>
          <w:rFonts w:ascii="Times New Roman" w:eastAsia="Times New Roman" w:hAnsi="Times New Roman" w:cs="Times New Roman"/>
          <w:sz w:val="24"/>
          <w:szCs w:val="24"/>
          <w:lang w:eastAsia="it-IT"/>
        </w:rPr>
        <w:t>confligga</w:t>
      </w:r>
      <w:proofErr w:type="spellEnd"/>
      <w:r w:rsidRPr="00C05EA1">
        <w:rPr>
          <w:rFonts w:ascii="Times New Roman" w:eastAsia="Times New Roman" w:hAnsi="Times New Roman" w:cs="Times New Roman"/>
          <w:sz w:val="24"/>
          <w:szCs w:val="24"/>
          <w:lang w:eastAsia="it-IT"/>
        </w:rPr>
        <w:t xml:space="preserve"> con l’art. 29 Cost.: sarebbe limitata «la libertà dell’individuo ad operare le scelte più intime e personali della propria esistenza», in virtù dell’introduzione di «elementi esterni fortemente incidenti sulla sua capacità di determinazione familiare».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In particolare, l’individuo sarebbe posto di fronte all’alternativa «di formare un nucleo familiare secondo la più ampia accezione di libertà oppure non accedervi nella consapevolezza che a quel nucleo non potrà, di fronte all’evento morte, assicurare una vita dignitosa a causa delle decurtazioni volute dalla disciplina in esame».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Il giudice rimettente prospetta anche la violazione degli artt. 36, primo comma, e 38, secondo comma, Cost.: la decurtazione imposta dalla legge, suscettibile di configurare una misura sprovvista di ogni limite temporale e di ogni legame con le contingenti esigenze di natura finanziaria, determinerebbe un’irragionevole e definitiva riduzione della pensione, che si caratterizza come “retribuzione differita”, pur nell’indispensabile bilanciamento con le concrete e attuali disponibilità delle risorse finanziarie.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disposizione censurata contrasterebbe con 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che sanciscono la proporzione del trattamento pensionistico alla qualità e alla quantità del lavoro prestato e l’idoneità a garantire al lavoratore e alla famiglia un’esistenza libera e dignitosa e una vecchiaia nella quale non manchino i mezzi adeguati a un altrettanto dignitoso sostentamento.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2.– La questione, posta dalla Corte dei conti, si sottrae alle eccezioni di inammissibilità, formulate in via preliminare dall’Istituto nazionale della previdenza sociale (INPS) e dalla difesa dello Stato.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2.1.– Quanto al difetto di rilevanza, eccepito dall’INPS, è la stessa difesa dell’ente previdenziale a riconoscere che la disposizione impugnata si applica al caso di specie, in quanto riguarda pensioni di reversibilità che decorrono dal 1° gennaio 2012 e il diritto della ricorrente è sorto in data successiva.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L’applicabilità della disposizione al giudizio principale è sufficiente a radicare la rilevanza della questione, che non postula un sindacato più incisivo sul concreto pregiudizio ai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costituzionali coinvolti.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questione di costituzionalità non può dirsi irrilevante, sul presupposto che, nella vicenda specifica, l’applicazione della disposizione impugnata non abbia messo a repentaglio la libertà matrimoniale, poiché il matrimonio è stato celebrato prima dell’entrata in vigore della legge del 2011, o non pregiudichi l’adeguatezza della tutela previdenziale accordata al coniuge superstite, già </w:t>
      </w:r>
      <w:r w:rsidRPr="00C05EA1">
        <w:rPr>
          <w:rFonts w:ascii="Times New Roman" w:eastAsia="Times New Roman" w:hAnsi="Times New Roman" w:cs="Times New Roman"/>
          <w:sz w:val="24"/>
          <w:szCs w:val="24"/>
          <w:lang w:eastAsia="it-IT"/>
        </w:rPr>
        <w:lastRenderedPageBreak/>
        <w:t xml:space="preserve">provvisto di mezzi sufficienti. Tali valutazioni esulano dal sindacato sulla rilevanza richiesto a questa Corte.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2.2.– Anche le eccezioni mosse dall’Avvocatura generale dello Stato, relative alla carente illustrazione della non manifesta infondatezza, devono essere disattese.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Il giudice rimettente si sofferma, con argomentazioni esaustive, sulle ragioni del contrasto della disciplina censurata con il principio di eguaglianza e con il canone di ragionevolezza. È ininfluente che la disciplina riguardi tutti i trattamenti pensionistici e si riprometta di contrastare taluni abusi, in quanto il giudice a quo coglie la violazione del principio di eguaglianza e del canone di ragionevolezza sotto profili differenti.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3.– La questione è fondata.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3.1.– L’ordinamento configura la pensione di reversibilità come «una forma di tutela previdenziale ed uno strumento necessario per il perseguimento dell’interesse della collettività alla liberazione di ogni cittadino dal bisogno ed alla garanzia di quelle minime condizioni economiche e sociali che consentono l’effettivo godimento dei diritti civili e politici (art. 3, secondo comma, della Costituzione) con una riserva, costituzionalmente riconosciuta, a favore del lavoratore, di un trattamento preferenziale (art. 38, secondo comma, della Costituzione) rispetto alla generalità dei cittadini (art. 38, primo comma, della Costituzione)» (sentenza n. 286 del 1987, punto 3.2. del Considerato in diritto).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In virtù di tale connotazione previdenziale, il trattamento di reversibilità si colloca nell’alveo degli artt. 36, primo comma, e 38, secondo comma, della Carta fondamentale, che prescrivono l’adeguatezza della pensione quale retribuzione differita e l’idoneità della stessa a garantire un’esistenza libera e dignitosa.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3.2.– Nella pensione di reversibilità erogata al coniuge superstite, la finalità previdenziale si raccorda a un peculiare fondamento solidaristico.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Tale prestazione, difatti, mira a tutelare la continuità del sostentamento (sentenza n. 777 del 1988, punto 2. del Considerato in diritto) e a prevenire lo stato di bisogno che può derivare dalla morte del coniuge (sentenze n. 18 del 1998, punto 5. del Considerato in diritto, e n. 926 del 1988, punto 2. del Considerato in diritto).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Il perdurare del vincolo di solidarietà coniugale, che proietta la sua forza cogente anche nel tempo successivo alla morte, assume queste precise caratteristiche, avallate da plurimi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costituzionali (sentenze n. 419 del 1999, punto 2.1. del Considerato in diritto, e n. 70 del 1999, punto 3. del Considerato in diritto).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Lo stesso fondamento solidaristico, che il legislatore è chiamato a specificare e a modulare nelle multiformi situazioni meritevoli di tutela, in modo coerente con 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di eguaglianza e ragionevolezza, permea l’istituto anche nelle sue applicazioni più recenti alle unioni civili, in forza della clausola generale dell’art. 1, comma 20, della legge 20 maggio 2016, n. 76 (Regolamentazione delle unioni civili tra persone dello stesso sesso e disciplina delle convivenze).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In un </w:t>
      </w:r>
      <w:proofErr w:type="spellStart"/>
      <w:r w:rsidRPr="00C05EA1">
        <w:rPr>
          <w:rFonts w:ascii="Times New Roman" w:eastAsia="Times New Roman" w:hAnsi="Times New Roman" w:cs="Times New Roman"/>
          <w:sz w:val="24"/>
          <w:szCs w:val="24"/>
          <w:lang w:eastAsia="it-IT"/>
        </w:rPr>
        <w:t>àmbito</w:t>
      </w:r>
      <w:proofErr w:type="spellEnd"/>
      <w:r w:rsidRPr="00C05EA1">
        <w:rPr>
          <w:rFonts w:ascii="Times New Roman" w:eastAsia="Times New Roman" w:hAnsi="Times New Roman" w:cs="Times New Roman"/>
          <w:sz w:val="24"/>
          <w:szCs w:val="24"/>
          <w:lang w:eastAsia="it-IT"/>
        </w:rPr>
        <w:t xml:space="preserve"> che interseca scelte eminentemente personali e libertà intangibili, 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di eguaglianza e ragionevolezza rivestono un ruolo cruciale nell’orientare l’intervento del legislatore. Quest’ultimo, vincolato a garantire un’adeguata tutela previdenziale, per un verso non deve interferire con le determinazioni dei singoli che, anche in età avanzata, ricercano una piena </w:t>
      </w:r>
      <w:r w:rsidRPr="00C05EA1">
        <w:rPr>
          <w:rFonts w:ascii="Times New Roman" w:eastAsia="Times New Roman" w:hAnsi="Times New Roman" w:cs="Times New Roman"/>
          <w:sz w:val="24"/>
          <w:szCs w:val="24"/>
          <w:lang w:eastAsia="it-IT"/>
        </w:rPr>
        <w:lastRenderedPageBreak/>
        <w:t xml:space="preserve">realizzazione della propria sfera affettiva e, per altro verso, è chiamato a realizzare un equilibrato contemperamento di molteplici fattori rilevanti, allo scopo di garantire l’assetto del sistema previdenziale globalmente inteso.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Nel contesto di tali fattori, alla direttrice già tracciata dalla disciplina di cui all’art. 1, comma 41, della legge 8 agosto 1995, n. 335 (Riforma del sistema pensionistico obbligatorio e complementare), che riduce percentualmente l’ammontare del trattamento di reversibilità nell’ipotesi di concorso di più beneficiari e di cumulo dei redditi, si potrebbe affiancare il complementare criterio selettivo dell’età del coniuge beneficiario, sperimentato in altri ordinamenti, anche allo scopo di contenimento delle erogazioni previdenziali, come si evince dalle note informative sintetiche elaborate, nel corso del dibattito parlamentare, dall’Ufficio legislazione straniera del Servizio Biblioteca della Camera dei deputati (XVI Legislatura, Atto Camera n. 1847 e </w:t>
      </w:r>
      <w:proofErr w:type="spellStart"/>
      <w:r w:rsidRPr="00C05EA1">
        <w:rPr>
          <w:rFonts w:ascii="Times New Roman" w:eastAsia="Times New Roman" w:hAnsi="Times New Roman" w:cs="Times New Roman"/>
          <w:sz w:val="24"/>
          <w:szCs w:val="24"/>
          <w:lang w:eastAsia="it-IT"/>
        </w:rPr>
        <w:t>abb</w:t>
      </w:r>
      <w:proofErr w:type="spellEnd"/>
      <w:r w:rsidRPr="00C05EA1">
        <w:rPr>
          <w:rFonts w:ascii="Times New Roman" w:eastAsia="Times New Roman" w:hAnsi="Times New Roman" w:cs="Times New Roman"/>
          <w:sz w:val="24"/>
          <w:szCs w:val="24"/>
          <w:lang w:eastAsia="it-IT"/>
        </w:rPr>
        <w:t xml:space="preserv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4.– Nonostante i temperamenti che il sistema previdenziale predispone, la disposizione impugnata si rivela disarmonica rispetto ai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costituzionali enunciati.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4.1.– L’art. 18, comma 5, del d.l. n. 98 del 2011 si inquadra in una manovra di stabilizzazione finanziaria che include svariati provvedimenti di contenimento della spesa previdenziale, come il progressivo innalzamento dell’età pensionabile delle donne nel settore privato, le modifiche del meccanismo di indicizzazione delle pensioni, il contributo di perequazione sui trattamenti pensionistici più cospicui, le misure di riduzione del contenzioso in materia di invalidità civile mediante forme di accertamento tecnico preventivo obbligatorio.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disposizione, adottata sotto l’incalzare di una «particolare congiuntura economica internazionale», che ha precluso l’esame più approfondito delle «spesso assai delicate e complesse questioni poste dall’articolato» (parere espresso il 14 luglio 2011 dalla I Commissione permanente della Camera, Affari costituzionali, della Presidenza del Consiglio e interni), mutua numerosi elementi da un disegno di legge già in discussione al Parlamento (XVI Legislatura, Atto Camera n. 4150, proposta di legge presentata l’8 marzo 2011).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Il disegno di legge escludeva il diritto alla pensione di reversibilità nell’ipotesi di età avanzata di uno dei coniugi (settant’anni), di elevata differenza di età tra i coniugi, superiore a vent’anni, e di durata del matrimonio inferiore a tre anni. Nella relazione di accompagnamento, si stigmatizzava come “malcostume” l’attribuzione delle pensioni di reversibilità «a persone che non ne avrebbero, sul piano morale, diritto» e si poneva in risalto l’obiettivo di arginare il fenomeno dei matrimoni “di comodo”.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disposizione censurata nell’odierno giudizio di costituzionalità tempera l’assolutezza della previsione di tale disegno di legge con alcuni correttivi: la pensione di reversibilità non è eliminata in radice, ma è ridotta in una misura modulata del «10 per cento in ragione di ogni anno di matrimonio con il dante causa mancante rispetto al numero di 10». La riduzione non opera quando vi siano figli minori, studenti o inabili.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4.2.– La </w:t>
      </w:r>
      <w:proofErr w:type="spellStart"/>
      <w:r w:rsidRPr="00C05EA1">
        <w:rPr>
          <w:rFonts w:ascii="Times New Roman" w:eastAsia="Times New Roman" w:hAnsi="Times New Roman" w:cs="Times New Roman"/>
          <w:sz w:val="24"/>
          <w:szCs w:val="24"/>
          <w:lang w:eastAsia="it-IT"/>
        </w:rPr>
        <w:t>ratio</w:t>
      </w:r>
      <w:proofErr w:type="spellEnd"/>
      <w:r w:rsidRPr="00C05EA1">
        <w:rPr>
          <w:rFonts w:ascii="Times New Roman" w:eastAsia="Times New Roman" w:hAnsi="Times New Roman" w:cs="Times New Roman"/>
          <w:sz w:val="24"/>
          <w:szCs w:val="24"/>
          <w:lang w:eastAsia="it-IT"/>
        </w:rPr>
        <w:t xml:space="preserve"> della misura restrittiva risiede nella presunzione che i matrimoni contratti da chi abbia più di settant’anni con una persona di vent’anni più giovane traggano origine dall’intento di frodare le ragioni dell’erario, quando non vi siano figli minori, studenti o inabili.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Si tratta di una presunzione di frode alla legge, connotata in termini assoluti, che preclude ogni prova contraria. La sua ampia valenza lascia trasparire l’intrinseca irragionevolezza della disposizione impugnata. Pur di accentuare la repressione di illeciti, già sanzionati dall’ordinamento </w:t>
      </w:r>
      <w:r w:rsidRPr="00C05EA1">
        <w:rPr>
          <w:rFonts w:ascii="Times New Roman" w:eastAsia="Times New Roman" w:hAnsi="Times New Roman" w:cs="Times New Roman"/>
          <w:sz w:val="24"/>
          <w:szCs w:val="24"/>
          <w:lang w:eastAsia="it-IT"/>
        </w:rPr>
        <w:lastRenderedPageBreak/>
        <w:t xml:space="preserve">con previsioni mirate (sentenze n. 245 del 2011, punto 3.1. del Considerato in diritto, e n. 123 del 1990, punto 2. del Considerato in diritto), si enfatizza la patologia del fenomeno, partendo dal presupposto di una genesi immancabilmente fraudolenta del matrimonio tardivo.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Si tratta, a ben vedere, di un presupposto di valore, sotteso anche a precedenti discipline restrittive, fortemente dissonante rispetto all’evoluzione del costume sociale. Il non trascurabile cambiamento di abitudini e propensioni collegate a scelte personali emerge nitidamente dalla costante giurisprudenza di questa Corte, che prende in esame disposizioni dal contenuto affine, volte a negare il diritto alla pensione di reversibilità nell’ipotesi di matrimonio durato meno di due anni, celebrato dopo la cessazione dal servizio e dopo il compimento del sessantacinquesimo anno di età (sentenza n. 123 del 1990) o di matrimonio celebrato dopo il sessantacinquesimo anno di età, a fronte di una differenza di età superiore a vent’anni (sentenza n. 587 del 1988).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4.3.– Nell’attribuire rilievo all’età del coniuge titolare di trattamento pensionistico diretto al momento del matrimonio e alla differenza di età tra i coniugi, la disposizione in esame introduce una regolamentazione irragionevole, incoerente con il fondamento solidaristico della pensione di reversibilità, che ne determina la finalità previdenziale, presidiata dagli artt. 36 e 38 Cost. e ancorata dal legislatore a presupposti rigorosi. Una tale irragionevolezza diviene ancora più marcata, se si tiene conto dell’ormai riscontrato allungamento dell’aspettativa di vita.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disposizione opera a danno del solo coniuge superstite più giovane e si applica esclusivamente nell’ipotesi di una considerevole differenza di età tra i coniugi. Si conferisce, in tal modo, rilievo a restrizioni «a mero fondamento naturalistico» (sentenza n. 587 del 1988, punto 2. del Considerato in diritto), che la giurisprudenza di questa Corte ha già ritenuto estranee «all’essenza e ai fini del vincolo coniugale», con peculiare riguardo all’età avanzata del contraente e alla durata del matrimonio (sentenza n. 110 del 1999, punto 2. del Considerato in diritto).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L’esclusione dell’operatività delle norme che, in presenza di figli, limitano l’erogazione della pensione di reversibilità, non attenua i profili di contrasto con 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di eguaglianza e di ragionevolezza. Difatti, essa non è valsa a fugare i dubbi di legittimità costituzionale in altri casi già scrutinati da questa Corte, con riguardo alla disciplina delle pensioni erogate alle vedove di guerra (sentenze n. 162 del 1994 e n. 450 del 1991), che condizionava il diritto alla durata annuale del matrimonio o alla presenza di prole, ancorché postuma.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Il vulnus ai diritti previdenziali del coniuge superstite appare ancor più evidente in una normativa che subordina tali diritti alla circostanza, del tutto accidentale ed eccentrica rispetto alla primaria finalità di protezione del coniuge, che vi siano figli minori, studenti o inabili all’epoca del sorgere del diritto del coniuge. Per i figli, peraltro, la disciplina delle pensioni di reversibilità appresta una tutela autonoma, che interagisce con la normativa indirizzata ai coniugi ai limitati effetti della già citata disciplina del “cumulo”. Questo dato serve a confermare l’equilibrato intento solidaristico che ha, già da qualche tempo, ispirato il legislatore.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Neppure la peculiarità del meccanismo congegnato nel 2011, che commisura l’ammontare della pensione di reversibilità alla durata del matrimonio, senza escludere in radice il diritto a beneficiare di tale prestazione, rappresenta un significativo elemento di discontinuità tra la misura censurata e le disposizioni già dichiarate incostituzionali da questa Corte, dapprima sulla scorta di un’analisi puntuale della disparità di trattamento tra le diverse categorie dei beneficiari (sentenze n. 15 del 1980 e n. 139 del 1979) e, nell’evoluzione successiva, sul presupposto della «ingiustificata irrazionalità» di discipline restrittive ancorate a elementi di matrice naturalistica (sentenza n. 587 del 1988, battistrada di una giurisprudenza costante, rappresentata dalle sentenze n. 447 del 2001, n. </w:t>
      </w:r>
      <w:r w:rsidRPr="00C05EA1">
        <w:rPr>
          <w:rFonts w:ascii="Times New Roman" w:eastAsia="Times New Roman" w:hAnsi="Times New Roman" w:cs="Times New Roman"/>
          <w:sz w:val="24"/>
          <w:szCs w:val="24"/>
          <w:lang w:eastAsia="it-IT"/>
        </w:rPr>
        <w:lastRenderedPageBreak/>
        <w:t xml:space="preserve">187 del 2000, n. 110 del 1999, n. 162 del 1994, n. 1 del 1992, n. 450 e n. 189 del 1991, e n. 123 del 1990).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Quando la durata del matrimonio sia inferiore all’anno, la correlazione tra l’ammontare della pensione di reversibilità e la durata del matrimonio azzera il trattamento previdenziale: il meccanismo di riduzione, concepito in termini graduali dal legislatore, si risolve in una esclusione pura e semplice del diritto, che non differisce dalle ipotesi sottoposte alla disamina di questa Corte nelle pronunce appena ricordate.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L’antitesi con i </w:t>
      </w:r>
      <w:proofErr w:type="spellStart"/>
      <w:r w:rsidRPr="00C05EA1">
        <w:rPr>
          <w:rFonts w:ascii="Times New Roman" w:eastAsia="Times New Roman" w:hAnsi="Times New Roman" w:cs="Times New Roman"/>
          <w:sz w:val="24"/>
          <w:szCs w:val="24"/>
          <w:lang w:eastAsia="it-IT"/>
        </w:rPr>
        <w:t>princìpi</w:t>
      </w:r>
      <w:proofErr w:type="spellEnd"/>
      <w:r w:rsidRPr="00C05EA1">
        <w:rPr>
          <w:rFonts w:ascii="Times New Roman" w:eastAsia="Times New Roman" w:hAnsi="Times New Roman" w:cs="Times New Roman"/>
          <w:sz w:val="24"/>
          <w:szCs w:val="24"/>
          <w:lang w:eastAsia="it-IT"/>
        </w:rPr>
        <w:t xml:space="preserve"> di eguaglianza e ragionevolezza non è meno stridente, quando la durata del matrimonio valga a proporzionare il trattamento di reversibilità corrisposto al coniuge, e non a disconoscerlo del tutto. La pregnanza del vincolo di solidarietà coniugale, fondamento della pensione di reversibilità, è graduata in rapporto all’elemento, contingente ed estrinseco, della durata del matrimonio.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Peraltro, il nesso tra durata del matrimonio e ammontare della pensione di reversibilità non si correla a una previsione generale e astratta, eventualmente incentrata su un requisito minimo di convivenza, valido per tutte le ipotesi.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Tale nesso, articolato nei termini singolari di un progressivo incremento dell’importo della pensione al protrarsi del matrimonio, riguarda la sola ipotesi in cui il matrimonio sia scelto da chi ha già compiuto i settant’anni di età e la differenza di età tra i coniugi travalichi i vent’anni.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Il rilievo peculiare della durata del matrimonio, nella sola ipotesi regolata dalla disciplina in esame, ne palesa – da altra e ugualmente pregnante angolazione – il contrasto già segnalato con l’art. 3 Cost.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Non può essere invocata, in chiave comparativa, la disciplina dell’attribuzione della pensione di reversibilità ai coniugi divorziati (art. 9 della legge 1° dicembre 1970, n. 898, recante «Disciplina dei casi di scioglimento del matrimonio» e successive modificazioni).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In tale fattispecie, la durata non rileva in senso assoluto e astratto, ma come ragionevole criterio per suddividere la pensione di reversibilità tra il coniuge divorziato, titolare del diritto all’assegno </w:t>
      </w:r>
      <w:proofErr w:type="spellStart"/>
      <w:r w:rsidRPr="00C05EA1">
        <w:rPr>
          <w:rFonts w:ascii="Times New Roman" w:eastAsia="Times New Roman" w:hAnsi="Times New Roman" w:cs="Times New Roman"/>
          <w:sz w:val="24"/>
          <w:szCs w:val="24"/>
          <w:lang w:eastAsia="it-IT"/>
        </w:rPr>
        <w:t>divorzile</w:t>
      </w:r>
      <w:proofErr w:type="spellEnd"/>
      <w:r w:rsidRPr="00C05EA1">
        <w:rPr>
          <w:rFonts w:ascii="Times New Roman" w:eastAsia="Times New Roman" w:hAnsi="Times New Roman" w:cs="Times New Roman"/>
          <w:sz w:val="24"/>
          <w:szCs w:val="24"/>
          <w:lang w:eastAsia="it-IT"/>
        </w:rPr>
        <w:t xml:space="preserve"> a carico del coniuge scomparso, e altri coniugi superstiti. La durata del matrimonio, infatti, non si riverbera sull’ammontare della pensione di reversibilità, complessivamente attribuito, ma viene in rilievo soltanto nella ripartizione dell’intero tra una pluralità di aventi diritto.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5.– Dalle considerazioni svolte, discende la fondatezza della questione di legittimità costituzionale, in riferimento agli artt. 3, 36 e 38 Cost.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Sono assorbite le censure incentrate sulla violazione dell’art. 29 Cost. e, in particolare, sulla limitazione della libertà di contrarre matrimonio. </w:t>
      </w:r>
    </w:p>
    <w:p w:rsidR="00C05EA1" w:rsidRPr="00C05EA1" w:rsidRDefault="00C05EA1" w:rsidP="00C05EA1">
      <w:pPr>
        <w:spacing w:after="0"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br/>
      </w:r>
      <w:bookmarkStart w:id="2" w:name="dispositivo"/>
      <w:bookmarkEnd w:id="2"/>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per questi motivi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LA CORTE COSTITUZIONALE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lastRenderedPageBreak/>
        <w:t xml:space="preserve">dichiara l’illegittimità costituzionale dell’art. 18, comma 5, del decreto-legge 6 luglio 2011, n. 98 (Disposizioni urgenti per la stabilizzazione finanziaria), convertito, con modificazioni, dall’art. 1, comma 1, della legge 15 luglio 2011, n. 111.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Così deciso in Roma, nella sede della Corte costituzionale, Palazzo della Consulta, il 15 giugno 2016.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F.to: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Paolo GROSSI, Presidente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Silvana SCIARRA, Redattore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05EA1">
        <w:rPr>
          <w:rFonts w:ascii="Times New Roman" w:eastAsia="Times New Roman" w:hAnsi="Times New Roman" w:cs="Times New Roman"/>
          <w:sz w:val="24"/>
          <w:szCs w:val="24"/>
          <w:lang w:eastAsia="it-IT"/>
        </w:rPr>
        <w:t>Carmelinda</w:t>
      </w:r>
      <w:proofErr w:type="spellEnd"/>
      <w:r w:rsidRPr="00C05EA1">
        <w:rPr>
          <w:rFonts w:ascii="Times New Roman" w:eastAsia="Times New Roman" w:hAnsi="Times New Roman" w:cs="Times New Roman"/>
          <w:sz w:val="24"/>
          <w:szCs w:val="24"/>
          <w:lang w:eastAsia="it-IT"/>
        </w:rPr>
        <w:t xml:space="preserve"> MORANO, Cancelliere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Depositata in Cancelleria il 14 luglio 2016. </w:t>
      </w:r>
    </w:p>
    <w:p w:rsidR="00C05EA1" w:rsidRPr="00C05EA1" w:rsidRDefault="00C05EA1" w:rsidP="00C05EA1">
      <w:pPr>
        <w:spacing w:before="100" w:beforeAutospacing="1" w:after="100" w:afterAutospacing="1" w:line="240" w:lineRule="auto"/>
        <w:rPr>
          <w:rFonts w:ascii="Times New Roman" w:eastAsia="Times New Roman" w:hAnsi="Times New Roman" w:cs="Times New Roman"/>
          <w:sz w:val="24"/>
          <w:szCs w:val="24"/>
          <w:lang w:eastAsia="it-IT"/>
        </w:rPr>
      </w:pPr>
      <w:r w:rsidRPr="00C05EA1">
        <w:rPr>
          <w:rFonts w:ascii="Times New Roman" w:eastAsia="Times New Roman" w:hAnsi="Times New Roman" w:cs="Times New Roman"/>
          <w:sz w:val="24"/>
          <w:szCs w:val="24"/>
          <w:lang w:eastAsia="it-IT"/>
        </w:rPr>
        <w:t xml:space="preserve">Il Cancelliere </w:t>
      </w:r>
    </w:p>
    <w:p w:rsidR="00742183" w:rsidRDefault="00C05EA1" w:rsidP="00C05EA1">
      <w:r w:rsidRPr="00C05EA1">
        <w:rPr>
          <w:rFonts w:ascii="Times New Roman" w:eastAsia="Times New Roman" w:hAnsi="Times New Roman" w:cs="Times New Roman"/>
          <w:sz w:val="24"/>
          <w:szCs w:val="24"/>
          <w:lang w:eastAsia="it-IT"/>
        </w:rPr>
        <w:t xml:space="preserve">F.to: </w:t>
      </w:r>
      <w:proofErr w:type="spellStart"/>
      <w:r w:rsidRPr="00C05EA1">
        <w:rPr>
          <w:rFonts w:ascii="Times New Roman" w:eastAsia="Times New Roman" w:hAnsi="Times New Roman" w:cs="Times New Roman"/>
          <w:sz w:val="24"/>
          <w:szCs w:val="24"/>
          <w:lang w:eastAsia="it-IT"/>
        </w:rPr>
        <w:t>Carmelinda</w:t>
      </w:r>
      <w:proofErr w:type="spellEnd"/>
      <w:r w:rsidRPr="00C05EA1">
        <w:rPr>
          <w:rFonts w:ascii="Times New Roman" w:eastAsia="Times New Roman" w:hAnsi="Times New Roman" w:cs="Times New Roman"/>
          <w:sz w:val="24"/>
          <w:szCs w:val="24"/>
          <w:lang w:eastAsia="it-IT"/>
        </w:rPr>
        <w:t xml:space="preserve"> MORANO </w:t>
      </w:r>
    </w:p>
    <w:sectPr w:rsidR="00742183" w:rsidSect="007421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5EA1"/>
    <w:rsid w:val="00742183"/>
    <w:rsid w:val="00C05E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1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05EA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983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4592</Words>
  <Characters>26180</Characters>
  <Application>Microsoft Office Word</Application>
  <DocSecurity>0</DocSecurity>
  <Lines>218</Lines>
  <Paragraphs>61</Paragraphs>
  <ScaleCrop>false</ScaleCrop>
  <Company>Senato della Repubblica</Company>
  <LinksUpToDate>false</LinksUpToDate>
  <CharactersWithSpaces>30711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Napol</dc:creator>
  <cp:lastModifiedBy>Paolo Napol</cp:lastModifiedBy>
  <cp:revision>1</cp:revision>
  <dcterms:created xsi:type="dcterms:W3CDTF">2016-07-18T12:12:00Z</dcterms:created>
  <dcterms:modified xsi:type="dcterms:W3CDTF">2016-07-18T12:13:00Z</dcterms:modified>
</cp:coreProperties>
</file>